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2D" w:rsidRPr="00496A56" w:rsidRDefault="008B402D" w:rsidP="008B402D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="Lucida Sans Unicode"/>
          <w:sz w:val="22"/>
          <w:szCs w:val="22"/>
        </w:rPr>
      </w:pPr>
      <w:r w:rsidRPr="00496A56">
        <w:rPr>
          <w:rFonts w:asciiTheme="majorHAnsi" w:hAnsiTheme="majorHAnsi" w:cs="Lucida Sans Unicode"/>
          <w:b/>
          <w:bCs/>
          <w:sz w:val="22"/>
          <w:szCs w:val="22"/>
          <w:bdr w:val="none" w:sz="0" w:space="0" w:color="auto" w:frame="1"/>
        </w:rPr>
        <w:t>SURAT GUGATAN</w:t>
      </w:r>
    </w:p>
    <w:p w:rsidR="008B402D" w:rsidRPr="00496A56" w:rsidRDefault="008B402D" w:rsidP="008B402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r w:rsidRPr="00496A56">
        <w:rPr>
          <w:rFonts w:asciiTheme="majorHAnsi" w:hAnsiTheme="majorHAnsi" w:cs="Lucida Sans Unicode"/>
          <w:sz w:val="22"/>
          <w:szCs w:val="22"/>
        </w:rPr>
        <w:t> 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Nomor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>: 03/SG-BNA/IX/2014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Lampiran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 xml:space="preserve">: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Kuasa</w:t>
      </w:r>
      <w:proofErr w:type="spellEnd"/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Perihal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>: </w:t>
      </w:r>
      <w:proofErr w:type="spellStart"/>
      <w:r w:rsidRPr="00496A56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Surat</w:t>
      </w:r>
      <w:proofErr w:type="spellEnd"/>
      <w:r w:rsidRPr="00496A56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Gugatan</w:t>
      </w:r>
      <w:proofErr w:type="spellEnd"/>
      <w:r w:rsidRPr="00496A56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Tanah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Ketua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Pengadilan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Negeri</w:t>
      </w:r>
      <w:proofErr w:type="spellEnd"/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Kota Bandung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Teratai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Merah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3 Raya No. 1 Kota Bandung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8B402D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hormat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8B402D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bertanda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bawah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, S.H</w:t>
      </w:r>
      <w:r w:rsidRPr="00496A56">
        <w:rPr>
          <w:rFonts w:asciiTheme="majorHAnsi" w:eastAsia="Times New Roman" w:hAnsiTheme="majorHAnsi" w:cs="Times New Roman"/>
          <w:b/>
          <w:bCs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Advokat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Penasihat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kantor</w:t>
      </w:r>
      <w:proofErr w:type="spellEnd"/>
      <w:proofErr w:type="gram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pengacara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r w:rsidRPr="00496A56">
        <w:rPr>
          <w:rFonts w:asciiTheme="majorHAnsi" w:eastAsia="Times New Roman" w:hAnsiTheme="majorHAnsi" w:cs="Lucida Sans Unicode"/>
          <w:noProof w:val="0"/>
          <w:lang w:val="en-US"/>
        </w:rPr>
        <w:t>EFA AND PARTNERS ASSOSIATION LAW  </w:t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No. Reg.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Izin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Praktek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: 07/5423/PPP/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Perp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/XII/2002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berkantor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Raya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Dukuh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Manis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5 No. 1 – 3, Bandung 3544</w:t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berdasarkan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kuasa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tertanggal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14 September 2016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terlampir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,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bertindak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nama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Aninda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Putri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Hanny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bertempat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tinggal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J</w:t>
      </w:r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Limau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Asam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5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Gg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.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Manis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No. 40B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Kelurahan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Arah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Timur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kecamatan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Melodi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Indah Kota Bandung</w:t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dalam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memilih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tempat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kediaman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(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domisili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) di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kantor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kuasanya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hendak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mengajukan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gugatan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hendak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mengajukan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gugatan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terhadap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proofErr w:type="gramEnd"/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Andhika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Rinaldo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umur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  55</w:t>
      </w:r>
      <w:proofErr w:type="gram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tahun</w:t>
      </w:r>
      <w:proofErr w:type="spellEnd"/>
      <w:proofErr w:type="gram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pekerjaan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karyawan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swasta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agama 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islam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 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tempat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tinggal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 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Merica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Putih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3 No. 5 RT.10/RW.03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kelurahan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Guwari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kecamatan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Dukuh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Asih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Kota Bandung.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Adapun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mengenai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duduk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persoalannya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adalah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berikut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proofErr w:type="gramEnd"/>
    </w:p>
    <w:p w:rsidR="008B402D" w:rsidRDefault="008B402D" w:rsidP="008B40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Bahwa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  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memiliki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sebidang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 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terletak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 di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Sukamaju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Raya Km 200,3 No 110A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Kabupaten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Bandung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luas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480 m2 (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empat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ratus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delapan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puluh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meter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persegi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)</w:t>
      </w:r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</w:t>
      </w:r>
    </w:p>
    <w:p w:rsidR="008B402D" w:rsidRDefault="008B402D" w:rsidP="008B40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Bahwa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r w:rsidRPr="00496A56">
        <w:rPr>
          <w:rFonts w:asciiTheme="majorHAnsi" w:eastAsia="Times New Roman" w:hAnsiTheme="majorHAnsi" w:cs="Times New Roman"/>
          <w:noProof w:val="0"/>
          <w:spacing w:val="11"/>
          <w:bdr w:val="none" w:sz="0" w:space="0" w:color="auto" w:frame="1"/>
          <w:lang w:val="en-US"/>
        </w:rPr>
        <w:t> 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dimaksud</w:t>
      </w:r>
      <w:proofErr w:type="spellEnd"/>
      <w:r w:rsidRPr="008B402D">
        <w:rPr>
          <w:rFonts w:asciiTheme="majorHAnsi" w:eastAsia="Times New Roman" w:hAnsiTheme="majorHAnsi" w:cs="Times New Roman"/>
          <w:noProof w:val="0"/>
          <w:spacing w:val="6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spacing w:val="3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peroleh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spacing w:val="6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dari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spacing w:val="28"/>
          <w:bdr w:val="none" w:sz="0" w:space="0" w:color="auto" w:frame="1"/>
          <w:lang w:val="en-US"/>
        </w:rPr>
        <w:t> 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almarhum</w:t>
      </w:r>
      <w:proofErr w:type="spellEnd"/>
      <w:r w:rsidRPr="008B402D">
        <w:rPr>
          <w:rFonts w:asciiTheme="majorHAnsi" w:eastAsia="Times New Roman" w:hAnsiTheme="majorHAnsi" w:cs="Times New Roman"/>
          <w:noProof w:val="0"/>
          <w:spacing w:val="7"/>
          <w:bdr w:val="none" w:sz="0" w:space="0" w:color="auto" w:frame="1"/>
          <w:lang w:val="en-US"/>
        </w:rPr>
        <w:t> 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Bapak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Teddy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Gunawan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Ayah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Tahun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2014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warisan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keluarga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sertifikatnya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telah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langsung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dibalik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nama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nama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suami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</w:t>
      </w:r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nggugat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yaitu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Fikri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Abdurochim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</w:p>
    <w:p w:rsidR="008B402D" w:rsidRDefault="008B402D" w:rsidP="008B40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Bahwa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Tahun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2016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Bulan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Februari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ketika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akan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mendirikan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rumah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ternyata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sudah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bangunan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milik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diakui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oleh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adalah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milik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</w:t>
      </w:r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sertifikat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keluran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Tahun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2000, </w:t>
      </w:r>
    </w:p>
    <w:p w:rsidR="008B402D" w:rsidRPr="008B402D" w:rsidRDefault="008B402D" w:rsidP="008B40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 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sudah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</w:t>
      </w:r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kali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-kali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minta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kepada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agar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berkenan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mengembalikan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mengecek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keaslian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sertifikat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dimilikinya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Dinas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Badan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Pertanahan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Nasional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tetapi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tidak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ada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tanggapan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yang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positif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</w:p>
    <w:p w:rsidR="008B402D" w:rsidRPr="00496A56" w:rsidRDefault="008B402D" w:rsidP="008B40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Bahwa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karena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dikuasai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oleh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</w:t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demi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menghindari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agar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tidak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dialihkan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-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lain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terjaminnya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pelaksanaan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putusan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pengadilan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memohon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agar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Mulia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Ketua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Pengadilan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Negeri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Kota Bandung</w:t>
      </w: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berkenan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kiranya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meletakan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sita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jaminan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(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conservatoir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beslaag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)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Berdasarkan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dalil-dalil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sudah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dikemukakan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maka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izinkanlah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mengajukan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permohonan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Mulia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Ketua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Pengadilan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Negeri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Kota Bandung agar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berkenan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kiranya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memanggil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suatu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hari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ditetapkan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keperluan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itu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memeriksa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mengadili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serta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memberikan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keputusan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amarnya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berbunyi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berikut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: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lastRenderedPageBreak/>
        <w:t>Primair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proofErr w:type="gramEnd"/>
    </w:p>
    <w:p w:rsidR="008B402D" w:rsidRPr="008B402D" w:rsidRDefault="008B402D" w:rsidP="008B40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Menyatakan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menerima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mengabulkan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gugatan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seluruhnya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;</w:t>
      </w:r>
    </w:p>
    <w:p w:rsidR="008B402D" w:rsidRPr="008B402D" w:rsidRDefault="008B402D" w:rsidP="008B40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Menyatakan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/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menetapkan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secara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penguasaan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oleh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perbuatan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melawan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;</w:t>
      </w:r>
    </w:p>
    <w:p w:rsidR="008B402D" w:rsidRPr="008B402D" w:rsidRDefault="008B402D" w:rsidP="008B40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Menyatakan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/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menetapkan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harta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milik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warisan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Almarhum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Bapak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Teddy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Gunawan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;</w:t>
      </w:r>
    </w:p>
    <w:p w:rsidR="008B402D" w:rsidRPr="008B402D" w:rsidRDefault="008B402D" w:rsidP="008B40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Menyatakan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/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menetapkan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sah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berharga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sita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jaminan</w:t>
      </w:r>
      <w:proofErr w:type="spellEnd"/>
      <w:r w:rsidRPr="008B402D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(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concervatoir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beslaag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)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diletakkan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sebagaimana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dimaksudkan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;</w:t>
      </w:r>
    </w:p>
    <w:p w:rsidR="008B402D" w:rsidRPr="008B402D" w:rsidRDefault="008B402D" w:rsidP="008B40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menyerahkan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dalam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keadaan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kosong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sebagaimana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semula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8B402D" w:rsidRPr="00496A56" w:rsidRDefault="008B402D" w:rsidP="008B40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I s/d IV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membayar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biaya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perkara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sudah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dikeluarkan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noProof w:val="0"/>
          <w:bdr w:val="none" w:sz="0" w:space="0" w:color="auto" w:frame="1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b/>
          <w:bCs/>
          <w:noProof w:val="0"/>
          <w:bdr w:val="none" w:sz="0" w:space="0" w:color="auto" w:frame="1"/>
          <w:lang w:val="en-US"/>
        </w:rPr>
        <w:t>Atau</w:t>
      </w:r>
      <w:proofErr w:type="spellEnd"/>
      <w:r w:rsidRPr="00496A56">
        <w:rPr>
          <w:rFonts w:asciiTheme="majorHAnsi" w:eastAsia="Times New Roman" w:hAnsiTheme="majorHAnsi" w:cs="Times New Roman"/>
          <w:b/>
          <w:bCs/>
          <w:noProof w:val="0"/>
          <w:bdr w:val="none" w:sz="0" w:space="0" w:color="auto" w:frame="1"/>
          <w:lang w:val="en-US"/>
        </w:rPr>
        <w:t>: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Subsidair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proofErr w:type="gramEnd"/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Apabila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Majelis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Hakim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Mulia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berpendapat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lain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mohon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putusan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seadil-adilnya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(ex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aequo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gram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et</w:t>
      </w:r>
      <w:proofErr w:type="gram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bono)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8B402D" w:rsidRDefault="008B402D" w:rsidP="008B402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Bandung, 16 September 2016</w:t>
      </w:r>
    </w:p>
    <w:p w:rsidR="008B402D" w:rsidRPr="00496A56" w:rsidRDefault="008B402D" w:rsidP="008B402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Hormat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Kuasa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Hukum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Penggugat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  <w:proofErr w:type="gramEnd"/>
    </w:p>
    <w:p w:rsidR="008B402D" w:rsidRPr="00496A56" w:rsidRDefault="008B402D" w:rsidP="008B402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8B402D" w:rsidRPr="00496A56" w:rsidRDefault="008B402D" w:rsidP="008B402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Lucida Sans Unicode"/>
          <w:noProof w:val="0"/>
          <w:lang w:val="en-US"/>
        </w:rPr>
      </w:pPr>
      <w:bookmarkStart w:id="0" w:name="_GoBack"/>
      <w:bookmarkEnd w:id="0"/>
    </w:p>
    <w:p w:rsidR="008B402D" w:rsidRPr="00496A56" w:rsidRDefault="008B402D" w:rsidP="008B402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, S.H</w:t>
      </w:r>
      <w:r w:rsidRPr="00496A56">
        <w:rPr>
          <w:rFonts w:asciiTheme="majorHAnsi" w:eastAsia="Times New Roman" w:hAnsiTheme="majorHAnsi" w:cs="Times New Roman"/>
          <w:b/>
          <w:bCs/>
          <w:noProof w:val="0"/>
          <w:bdr w:val="none" w:sz="0" w:space="0" w:color="auto" w:frame="1"/>
          <w:lang w:val="en-US"/>
        </w:rPr>
        <w:t xml:space="preserve"> </w:t>
      </w:r>
    </w:p>
    <w:p w:rsidR="0065255F" w:rsidRDefault="0065255F" w:rsidP="008B402D">
      <w:pPr>
        <w:spacing w:after="0" w:line="240" w:lineRule="auto"/>
        <w:jc w:val="right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679"/>
    <w:multiLevelType w:val="hybridMultilevel"/>
    <w:tmpl w:val="6BD8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7760"/>
    <w:multiLevelType w:val="hybridMultilevel"/>
    <w:tmpl w:val="F526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22"/>
    <w:rsid w:val="00547D22"/>
    <w:rsid w:val="0065255F"/>
    <w:rsid w:val="008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2016-09-15T23:34:00Z</dcterms:created>
  <dcterms:modified xsi:type="dcterms:W3CDTF">2016-09-15T23:37:00Z</dcterms:modified>
</cp:coreProperties>
</file>